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76AE5230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 w:rsidR="00803C45">
        <w:rPr>
          <w:rFonts w:cs="Arial"/>
          <w:b/>
          <w:sz w:val="24"/>
          <w:szCs w:val="24"/>
        </w:rPr>
        <w:t>8</w:t>
      </w:r>
      <w:r w:rsidR="00593AEE">
        <w:rPr>
          <w:rFonts w:cs="Arial"/>
          <w:b/>
          <w:sz w:val="24"/>
          <w:szCs w:val="24"/>
        </w:rPr>
        <w:t>-</w:t>
      </w:r>
      <w:r w:rsidR="00BF40C1">
        <w:rPr>
          <w:rFonts w:cs="Arial"/>
          <w:b/>
          <w:sz w:val="24"/>
          <w:szCs w:val="24"/>
        </w:rPr>
        <w:t>bis-</w:t>
      </w:r>
      <w:r w:rsidR="00593AEE">
        <w:rPr>
          <w:rFonts w:cs="Arial"/>
          <w:b/>
          <w:sz w:val="24"/>
          <w:szCs w:val="24"/>
        </w:rPr>
        <w:t>e</w:t>
      </w:r>
      <w:r>
        <w:rPr>
          <w:rFonts w:cs="Arial"/>
          <w:b/>
          <w:sz w:val="24"/>
          <w:szCs w:val="24"/>
        </w:rPr>
        <w:tab/>
      </w:r>
      <w:r w:rsidR="00BA4205" w:rsidRPr="00BA4205">
        <w:rPr>
          <w:rFonts w:cs="Arial"/>
          <w:b/>
          <w:sz w:val="24"/>
          <w:szCs w:val="24"/>
        </w:rPr>
        <w:t>R4-2104655</w:t>
      </w:r>
    </w:p>
    <w:p w14:paraId="06BF1402" w14:textId="3BBB1F36" w:rsidR="00F26BE6" w:rsidRDefault="00BF40C1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12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20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 xml:space="preserve">April </w:t>
      </w:r>
      <w:r w:rsidR="00F26BE6" w:rsidRPr="00690ADD">
        <w:rPr>
          <w:rFonts w:cs="Arial"/>
          <w:b/>
          <w:sz w:val="24"/>
          <w:szCs w:val="24"/>
        </w:rPr>
        <w:t>20</w:t>
      </w:r>
      <w:bookmarkEnd w:id="0"/>
      <w:r w:rsidR="00F26BE6">
        <w:rPr>
          <w:rFonts w:cs="Arial"/>
          <w:b/>
          <w:sz w:val="24"/>
          <w:szCs w:val="24"/>
        </w:rPr>
        <w:t>2</w:t>
      </w:r>
      <w:r w:rsidR="00803C45">
        <w:rPr>
          <w:rFonts w:cs="Arial"/>
          <w:b/>
          <w:sz w:val="24"/>
          <w:szCs w:val="24"/>
        </w:rPr>
        <w:t>1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3903F4B3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715E6E">
        <w:rPr>
          <w:sz w:val="22"/>
        </w:rPr>
        <w:t>, Nokia Shanghai Bell</w:t>
      </w:r>
    </w:p>
    <w:p w14:paraId="5B6A96A7" w14:textId="65FD3D34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676A68">
        <w:rPr>
          <w:sz w:val="22"/>
        </w:rPr>
        <w:t xml:space="preserve">FR1 </w:t>
      </w:r>
      <w:r w:rsidR="00CA0229" w:rsidRPr="00CA0229">
        <w:rPr>
          <w:sz w:val="22"/>
          <w:lang w:val="en-US"/>
        </w:rPr>
        <w:t xml:space="preserve">PC2 </w:t>
      </w:r>
      <w:r w:rsidR="00676A68">
        <w:rPr>
          <w:sz w:val="22"/>
          <w:lang w:val="en-US"/>
        </w:rPr>
        <w:t>C</w:t>
      </w:r>
      <w:r w:rsidR="00CA0229" w:rsidRPr="00CA0229">
        <w:rPr>
          <w:sz w:val="22"/>
          <w:lang w:val="en-US"/>
        </w:rPr>
        <w:t>ontiguous UL CA</w:t>
      </w:r>
      <w:r w:rsidR="00CA0229">
        <w:rPr>
          <w:sz w:val="22"/>
          <w:lang w:val="en-US"/>
        </w:rPr>
        <w:t xml:space="preserve"> Simulation Results</w:t>
      </w:r>
    </w:p>
    <w:p w14:paraId="23226DA5" w14:textId="0B3EA5EE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BF40C1">
        <w:t>8.2.2.4</w:t>
      </w:r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3D9CE619" w:rsidR="006A6B9C" w:rsidRDefault="00D767C4" w:rsidP="008B10F5">
      <w:r>
        <w:t>This contributio</w:t>
      </w:r>
      <w:r w:rsidR="00EA0331">
        <w:t xml:space="preserve">n presents simulated </w:t>
      </w:r>
      <w:r w:rsidR="00BF40C1">
        <w:t>back-off results</w:t>
      </w:r>
      <w:r w:rsidR="00E10098">
        <w:t xml:space="preserve"> for </w:t>
      </w:r>
      <w:r w:rsidR="00676A68">
        <w:t xml:space="preserve">FR1 </w:t>
      </w:r>
      <w:r w:rsidR="00E10098">
        <w:t xml:space="preserve">intra-band </w:t>
      </w:r>
      <w:r w:rsidR="00CA0229">
        <w:t xml:space="preserve">PC2 </w:t>
      </w:r>
      <w:r w:rsidR="00E10098">
        <w:t xml:space="preserve">contiguous </w:t>
      </w:r>
      <w:r w:rsidR="00CA0229">
        <w:t xml:space="preserve">UL </w:t>
      </w:r>
      <w:r w:rsidR="00E10098">
        <w:t>CA contiguous RB allocations.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0592CFF8" w14:textId="4CA9B9DC" w:rsidR="00E10098" w:rsidRDefault="00E10098" w:rsidP="00E10098">
      <w:r>
        <w:t>As discussed in [1], the following channel BW configurations are presented:</w:t>
      </w:r>
    </w:p>
    <w:p w14:paraId="6C410B40" w14:textId="21D35214" w:rsidR="00E10098" w:rsidRDefault="00E10098" w:rsidP="00E10098">
      <w:pPr>
        <w:pStyle w:val="ListParagraph"/>
        <w:numPr>
          <w:ilvl w:val="0"/>
          <w:numId w:val="7"/>
        </w:numPr>
      </w:pPr>
      <w:r>
        <w:t>20MHz+20MHz 15kHz SCS and 50MHz+50MHz 15kHz SCS (class B), and</w:t>
      </w:r>
    </w:p>
    <w:p w14:paraId="1E80FF33" w14:textId="1E54FE29" w:rsidR="00E10098" w:rsidRDefault="00E10098" w:rsidP="00E10098">
      <w:pPr>
        <w:pStyle w:val="ListParagraph"/>
        <w:numPr>
          <w:ilvl w:val="0"/>
          <w:numId w:val="7"/>
        </w:numPr>
      </w:pPr>
      <w:r>
        <w:t>60MHz+100MHz 30kHz SCS and 100MHz+100MHz 30kHz SCS (class C).</w:t>
      </w:r>
    </w:p>
    <w:p w14:paraId="3DA73A2B" w14:textId="7C519A4F" w:rsidR="00E10098" w:rsidRDefault="00E10098" w:rsidP="00E10098">
      <w:r>
        <w:t xml:space="preserve">In here, only </w:t>
      </w:r>
      <w:r w:rsidR="00CA0229">
        <w:t xml:space="preserve">1PA scenario and </w:t>
      </w:r>
      <w:r>
        <w:t>contiguous RB allocations are considered.</w:t>
      </w:r>
    </w:p>
    <w:p w14:paraId="4E950E09" w14:textId="268CE6EB" w:rsidR="00E10098" w:rsidRDefault="00E10098" w:rsidP="00E10098">
      <w:r>
        <w:t>The simulation assumptions were as follows:</w:t>
      </w:r>
    </w:p>
    <w:p w14:paraId="57A161A0" w14:textId="06838AD5" w:rsidR="00BF40C1" w:rsidRDefault="00BF40C1" w:rsidP="00E10098">
      <w:pPr>
        <w:pStyle w:val="ListParagraph"/>
        <w:numPr>
          <w:ilvl w:val="0"/>
          <w:numId w:val="8"/>
        </w:numPr>
      </w:pPr>
      <w:r>
        <w:t>IQ image and LO leakage = -28 dBc</w:t>
      </w:r>
      <w:r w:rsidR="00E10098">
        <w:t>,</w:t>
      </w:r>
    </w:p>
    <w:p w14:paraId="1DCCDF5B" w14:textId="01480C19" w:rsidR="00BF40C1" w:rsidRDefault="00BF40C1" w:rsidP="00E10098">
      <w:pPr>
        <w:pStyle w:val="ListParagraph"/>
        <w:numPr>
          <w:ilvl w:val="0"/>
          <w:numId w:val="8"/>
        </w:numPr>
      </w:pPr>
      <w:r>
        <w:t>CIM3 = -60 dBc</w:t>
      </w:r>
      <w:r w:rsidR="00E10098">
        <w:t>,</w:t>
      </w:r>
    </w:p>
    <w:p w14:paraId="7C389261" w14:textId="2304D400" w:rsidR="00EA0331" w:rsidRDefault="00470375" w:rsidP="00E10098">
      <w:pPr>
        <w:pStyle w:val="ListParagraph"/>
        <w:numPr>
          <w:ilvl w:val="0"/>
          <w:numId w:val="8"/>
        </w:numPr>
      </w:pPr>
      <w:r>
        <w:t xml:space="preserve">PA calibration point was 20 MHz, 15 kHz, QPSK, DFT-S-OFMA, 100 RB at lower channel edge with </w:t>
      </w:r>
      <w:r w:rsidR="00353ADB">
        <w:t xml:space="preserve">1 </w:t>
      </w:r>
      <w:r>
        <w:t>dB MPR</w:t>
      </w:r>
      <w:r w:rsidR="00676A68">
        <w:t>,</w:t>
      </w:r>
      <w:r w:rsidR="00071E0D">
        <w:t xml:space="preserve"> and</w:t>
      </w:r>
    </w:p>
    <w:p w14:paraId="0AF43AED" w14:textId="790A1990" w:rsidR="00C22231" w:rsidRDefault="00C22231" w:rsidP="00C22231">
      <w:pPr>
        <w:pStyle w:val="ListParagraph"/>
        <w:numPr>
          <w:ilvl w:val="0"/>
          <w:numId w:val="8"/>
        </w:numPr>
      </w:pPr>
      <w:r>
        <w:t>no IBE or EVM was evaluated.</w:t>
      </w:r>
    </w:p>
    <w:p w14:paraId="709AFE89" w14:textId="024B43EC" w:rsidR="00EA0331" w:rsidRDefault="000B7337" w:rsidP="00BF40C1">
      <w:pPr>
        <w:pStyle w:val="Heading1"/>
      </w:pPr>
      <w:r>
        <w:t>3</w:t>
      </w:r>
      <w:r w:rsidR="006376BE">
        <w:tab/>
      </w:r>
      <w:r w:rsidR="00150207">
        <w:t>Back-off Results for Contiguous Allocations</w:t>
      </w:r>
    </w:p>
    <w:p w14:paraId="32E91D77" w14:textId="13DDB8A2" w:rsidR="0072141E" w:rsidRDefault="0072141E" w:rsidP="0072141E">
      <w:r>
        <w:t xml:space="preserve">Below, representative examples of simulated </w:t>
      </w:r>
      <w:r w:rsidR="00E10098">
        <w:t xml:space="preserve">back-off </w:t>
      </w:r>
      <w:r>
        <w:t>results are shown.</w:t>
      </w:r>
      <w:r w:rsidR="00C22231">
        <w:t xml:space="preserve"> For 100+100 MHz OFDM only certain relevant allocations were simulated.</w:t>
      </w:r>
      <w:r w:rsidR="00D8365E">
        <w:t xml:space="preserve"> Further results, for other modulations than QSPK shown here, are included in Appendix 1.</w:t>
      </w:r>
    </w:p>
    <w:p w14:paraId="17F6FA5C" w14:textId="79D09757" w:rsidR="00150207" w:rsidRDefault="00150207" w:rsidP="0072141E">
      <w:r>
        <w:rPr>
          <w:noProof/>
        </w:rPr>
        <w:drawing>
          <wp:inline distT="0" distB="0" distL="0" distR="0" wp14:anchorId="2D56A302" wp14:editId="6FB85219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34ADE8" wp14:editId="11007780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F3A83" w14:textId="00ED0150" w:rsidR="00150207" w:rsidRDefault="00150207" w:rsidP="00150207">
      <w:pPr>
        <w:jc w:val="center"/>
      </w:pPr>
      <w:r w:rsidRPr="00545B26">
        <w:rPr>
          <w:b/>
          <w:bCs/>
        </w:rPr>
        <w:t xml:space="preserve">Figure 1. </w:t>
      </w:r>
      <w:r w:rsidR="00CD5859">
        <w:rPr>
          <w:rFonts w:cs="Arial"/>
          <w:szCs w:val="24"/>
          <w:lang w:val="en-US"/>
        </w:rPr>
        <w:t>Contiguous 20+20 MHz CA</w:t>
      </w:r>
    </w:p>
    <w:p w14:paraId="524AEE9F" w14:textId="77777777" w:rsidR="00150207" w:rsidRDefault="00150207" w:rsidP="0072141E"/>
    <w:p w14:paraId="2F0A301F" w14:textId="27AC20D4" w:rsidR="00150207" w:rsidRDefault="00150207" w:rsidP="0015020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9BE6CD9" wp14:editId="59629294">
            <wp:extent cx="2996190" cy="2246381"/>
            <wp:effectExtent l="0" t="0" r="0" b="1905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2A386F" wp14:editId="30C3CE52">
            <wp:extent cx="2996190" cy="2246381"/>
            <wp:effectExtent l="0" t="0" r="0" b="1905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6F797" w14:textId="1A38F7F2" w:rsidR="00150207" w:rsidRDefault="00150207" w:rsidP="00150207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Pr="00545B26">
        <w:rPr>
          <w:b/>
          <w:bCs/>
        </w:rPr>
        <w:t xml:space="preserve">. </w:t>
      </w:r>
      <w:r w:rsidR="00CD5859">
        <w:rPr>
          <w:rFonts w:cs="Arial"/>
          <w:szCs w:val="24"/>
          <w:lang w:val="en-US"/>
        </w:rPr>
        <w:t>Contiguous 50+50 MHz CA</w:t>
      </w:r>
    </w:p>
    <w:p w14:paraId="4C3FDAEE" w14:textId="1B9F26B7" w:rsidR="00150207" w:rsidRDefault="00150207" w:rsidP="00150207">
      <w:pPr>
        <w:rPr>
          <w:lang w:val="en-US"/>
        </w:rPr>
      </w:pPr>
      <w:r>
        <w:rPr>
          <w:noProof/>
        </w:rPr>
        <w:drawing>
          <wp:inline distT="0" distB="0" distL="0" distR="0" wp14:anchorId="6869461A" wp14:editId="29B346E9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6BD657" wp14:editId="7F0AB3A6">
            <wp:extent cx="2996190" cy="2246381"/>
            <wp:effectExtent l="0" t="0" r="0" b="190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F5F62" w14:textId="2574434C" w:rsidR="00150207" w:rsidRDefault="00150207" w:rsidP="00150207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3</w:t>
      </w:r>
      <w:r w:rsidRPr="00545B26">
        <w:rPr>
          <w:b/>
          <w:bCs/>
        </w:rPr>
        <w:t xml:space="preserve">. </w:t>
      </w:r>
      <w:r w:rsidR="00CD5859">
        <w:rPr>
          <w:rFonts w:cs="Arial"/>
          <w:szCs w:val="24"/>
          <w:lang w:val="en-US"/>
        </w:rPr>
        <w:t>Contiguous 60+100 MHz CA</w:t>
      </w:r>
    </w:p>
    <w:p w14:paraId="783A5C45" w14:textId="2C9535BC" w:rsidR="0072141E" w:rsidRDefault="00150207" w:rsidP="00150207">
      <w:pPr>
        <w:jc w:val="center"/>
      </w:pPr>
      <w:r>
        <w:rPr>
          <w:noProof/>
        </w:rPr>
        <w:drawing>
          <wp:inline distT="0" distB="0" distL="0" distR="0" wp14:anchorId="7DF7F8C6" wp14:editId="2D0FC974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0F90">
        <w:rPr>
          <w:noProof/>
        </w:rPr>
        <w:drawing>
          <wp:inline distT="0" distB="0" distL="0" distR="0" wp14:anchorId="733B36E0" wp14:editId="41B51773">
            <wp:extent cx="2996190" cy="2246381"/>
            <wp:effectExtent l="0" t="0" r="0" b="1905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4050" w14:textId="541BFB0B" w:rsidR="0072141E" w:rsidRDefault="0072141E" w:rsidP="0072141E">
      <w:pPr>
        <w:jc w:val="center"/>
        <w:rPr>
          <w:rFonts w:cs="Arial"/>
          <w:szCs w:val="24"/>
          <w:lang w:val="en-US"/>
        </w:rPr>
      </w:pPr>
      <w:r w:rsidRPr="00545B26">
        <w:rPr>
          <w:b/>
          <w:bCs/>
        </w:rPr>
        <w:t xml:space="preserve">Figure </w:t>
      </w:r>
      <w:r w:rsidR="00150207">
        <w:rPr>
          <w:b/>
          <w:bCs/>
        </w:rPr>
        <w:t>4</w:t>
      </w:r>
      <w:r w:rsidRPr="00545B26">
        <w:rPr>
          <w:b/>
          <w:bCs/>
        </w:rPr>
        <w:t xml:space="preserve">. </w:t>
      </w:r>
      <w:r w:rsidR="00CD5859">
        <w:rPr>
          <w:rFonts w:cs="Arial"/>
          <w:szCs w:val="24"/>
          <w:lang w:val="en-US"/>
        </w:rPr>
        <w:t>Contiguous 100+100 MHz CA</w:t>
      </w:r>
    </w:p>
    <w:p w14:paraId="248056A7" w14:textId="77777777" w:rsidR="002C5FC3" w:rsidRDefault="002C5FC3" w:rsidP="002C5FC3">
      <w:pPr>
        <w:rPr>
          <w:rFonts w:cs="Arial"/>
          <w:szCs w:val="24"/>
          <w:lang w:val="en-US"/>
        </w:rPr>
      </w:pPr>
    </w:p>
    <w:p w14:paraId="507AB6C7" w14:textId="40A29543" w:rsidR="002C5FC3" w:rsidRDefault="002C5FC3" w:rsidP="002C5FC3">
      <w:r>
        <w:rPr>
          <w:rFonts w:cs="Arial"/>
          <w:szCs w:val="24"/>
          <w:lang w:val="en-US"/>
        </w:rPr>
        <w:t xml:space="preserve">Overall, only very few allocations seem to exceed </w:t>
      </w:r>
      <w:r>
        <w:t>i</w:t>
      </w:r>
      <w:r w:rsidRPr="00A1115A">
        <w:t>ntra-band contiguous CA</w:t>
      </w:r>
      <w:r>
        <w:t xml:space="preserve"> MPR for PC3 in TS 38.101, when considering contiguous RB allocations. For example, in Figure 1, considering the 20+20 MHz OFDM scenario, only single data point in the bottom right hand corner of the triangle exceeds 4 dB MPR specified for PC3.</w:t>
      </w:r>
      <w:r w:rsidR="007F3181">
        <w:t xml:space="preserve"> </w:t>
      </w:r>
      <w:r w:rsidR="007F3181">
        <w:t>In general, the narrow edge allocations need highest back-off values.</w:t>
      </w:r>
    </w:p>
    <w:p w14:paraId="7B845ED2" w14:textId="7A704E25" w:rsidR="008D3AD6" w:rsidRDefault="00435A51" w:rsidP="00BF40C1">
      <w:pPr>
        <w:pStyle w:val="Heading1"/>
      </w:pPr>
      <w:r>
        <w:lastRenderedPageBreak/>
        <w:t>4</w:t>
      </w:r>
      <w:r w:rsidR="008D3AD6">
        <w:tab/>
      </w:r>
      <w:r w:rsidR="008D3AD6" w:rsidRPr="00BF40C1">
        <w:t>Conclusion</w:t>
      </w:r>
    </w:p>
    <w:p w14:paraId="179B88A4" w14:textId="35C23A94" w:rsidR="00947B31" w:rsidRDefault="00947B31" w:rsidP="00947B31">
      <w:r>
        <w:t xml:space="preserve">We presented simulated </w:t>
      </w:r>
      <w:r w:rsidR="00E10098">
        <w:t>back-off results for intra-band UL contiguous CA PC2 contiguous RB allocations</w:t>
      </w:r>
      <w:r w:rsidR="005C12BE">
        <w:t>.</w:t>
      </w:r>
      <w:bookmarkStart w:id="1" w:name="_GoBack"/>
      <w:bookmarkEnd w:id="1"/>
    </w:p>
    <w:p w14:paraId="561E3900" w14:textId="4EFD09F9" w:rsidR="00165DA2" w:rsidRDefault="00435A51" w:rsidP="00BF40C1">
      <w:pPr>
        <w:pStyle w:val="Heading1"/>
      </w:pPr>
      <w:r>
        <w:t>5</w:t>
      </w:r>
      <w:r w:rsidR="00165DA2">
        <w:tab/>
      </w:r>
      <w:r w:rsidR="00165DA2" w:rsidRPr="00BF40C1">
        <w:t>Reference</w:t>
      </w:r>
      <w:r w:rsidRPr="00BF40C1">
        <w:t>s</w:t>
      </w:r>
    </w:p>
    <w:p w14:paraId="78673CF2" w14:textId="3B0EED95" w:rsidR="00E10098" w:rsidRDefault="00E10098" w:rsidP="00E10098">
      <w:r w:rsidRPr="00A412D5">
        <w:t xml:space="preserve">[1] </w:t>
      </w:r>
      <w:r w:rsidRPr="00CD402B">
        <w:t>R4-2103</w:t>
      </w:r>
      <w:r>
        <w:t>232</w:t>
      </w:r>
      <w:r w:rsidRPr="00A412D5">
        <w:t xml:space="preserve">, </w:t>
      </w:r>
      <w:r w:rsidRPr="00E10098">
        <w:t>Way forward on MPR and AMPR for intra-band UL contiguous CA</w:t>
      </w:r>
      <w:r w:rsidRPr="00A412D5">
        <w:t xml:space="preserve">, </w:t>
      </w:r>
      <w:r w:rsidRPr="00CD402B">
        <w:t>Skyworks</w:t>
      </w:r>
      <w:r>
        <w:t>, Qualcomm</w:t>
      </w:r>
    </w:p>
    <w:p w14:paraId="74A6D001" w14:textId="77777777" w:rsidR="00D8365E" w:rsidRDefault="00D8365E" w:rsidP="00D8365E">
      <w:pPr>
        <w:pStyle w:val="Heading1"/>
      </w:pPr>
      <w:r>
        <w:t>Appendix 1</w:t>
      </w:r>
    </w:p>
    <w:bookmarkStart w:id="2" w:name="_MON_1678806726"/>
    <w:bookmarkEnd w:id="2"/>
    <w:p w14:paraId="52507BB6" w14:textId="7EDAC0E0" w:rsidR="00D8365E" w:rsidRDefault="00D8365E" w:rsidP="00BF40C1">
      <w:r>
        <w:object w:dxaOrig="1538" w:dyaOrig="994" w14:anchorId="73037C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5" o:title=""/>
          </v:shape>
          <o:OLEObject Type="Embed" ProgID="Word.Document.12" ShapeID="_x0000_i1025" DrawAspect="Icon" ObjectID="_1678808172" r:id="rId16">
            <o:FieldCodes>\s</o:FieldCodes>
          </o:OLEObject>
        </w:object>
      </w:r>
      <w:r>
        <w:tab/>
      </w:r>
      <w:bookmarkStart w:id="3" w:name="_MON_1678806732"/>
      <w:bookmarkEnd w:id="3"/>
      <w:r>
        <w:object w:dxaOrig="1538" w:dyaOrig="994" w14:anchorId="6E2BF4DE">
          <v:shape id="_x0000_i1026" type="#_x0000_t75" style="width:77.25pt;height:49.5pt" o:ole="">
            <v:imagedata r:id="rId17" o:title=""/>
          </v:shape>
          <o:OLEObject Type="Embed" ProgID="Word.Document.12" ShapeID="_x0000_i1026" DrawAspect="Icon" ObjectID="_1678808173" r:id="rId18">
            <o:FieldCodes>\s</o:FieldCodes>
          </o:OLEObject>
        </w:object>
      </w:r>
      <w:r>
        <w:tab/>
      </w:r>
      <w:bookmarkStart w:id="4" w:name="_MON_1678806740"/>
      <w:bookmarkEnd w:id="4"/>
      <w:r>
        <w:object w:dxaOrig="1538" w:dyaOrig="994" w14:anchorId="742EA22D">
          <v:shape id="_x0000_i1027" type="#_x0000_t75" style="width:77.25pt;height:49.5pt" o:ole="">
            <v:imagedata r:id="rId19" o:title=""/>
          </v:shape>
          <o:OLEObject Type="Embed" ProgID="Word.Document.12" ShapeID="_x0000_i1027" DrawAspect="Icon" ObjectID="_1678808174" r:id="rId20">
            <o:FieldCodes>\s</o:FieldCodes>
          </o:OLEObject>
        </w:object>
      </w:r>
      <w:r>
        <w:tab/>
      </w:r>
      <w:bookmarkStart w:id="5" w:name="_MON_1678806747"/>
      <w:bookmarkEnd w:id="5"/>
      <w:r>
        <w:object w:dxaOrig="1538" w:dyaOrig="994" w14:anchorId="43008EB2">
          <v:shape id="_x0000_i1028" type="#_x0000_t75" style="width:77.25pt;height:49.5pt" o:ole="">
            <v:imagedata r:id="rId21" o:title=""/>
          </v:shape>
          <o:OLEObject Type="Embed" ProgID="Word.Document.12" ShapeID="_x0000_i1028" DrawAspect="Icon" ObjectID="_1678808175" r:id="rId22">
            <o:FieldCodes>\s</o:FieldCodes>
          </o:OLEObject>
        </w:object>
      </w:r>
    </w:p>
    <w:sectPr w:rsidR="00D8365E" w:rsidSect="0053247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DF8F1C" w14:textId="77777777" w:rsidR="00E32B5A" w:rsidRDefault="00E32B5A" w:rsidP="002B3503">
      <w:pPr>
        <w:spacing w:after="0"/>
      </w:pPr>
      <w:r>
        <w:separator/>
      </w:r>
    </w:p>
  </w:endnote>
  <w:endnote w:type="continuationSeparator" w:id="0">
    <w:p w14:paraId="225CEE07" w14:textId="77777777" w:rsidR="00E32B5A" w:rsidRDefault="00E32B5A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0609FD" w14:textId="77777777" w:rsidR="00E32B5A" w:rsidRDefault="00E32B5A" w:rsidP="002B3503">
      <w:pPr>
        <w:spacing w:after="0"/>
      </w:pPr>
      <w:r>
        <w:separator/>
      </w:r>
    </w:p>
  </w:footnote>
  <w:footnote w:type="continuationSeparator" w:id="0">
    <w:p w14:paraId="6104FBDB" w14:textId="77777777" w:rsidR="00E32B5A" w:rsidRDefault="00E32B5A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F0F3D"/>
    <w:multiLevelType w:val="hybridMultilevel"/>
    <w:tmpl w:val="73F26BA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94CE8"/>
    <w:multiLevelType w:val="hybridMultilevel"/>
    <w:tmpl w:val="37B6927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696FF1"/>
    <w:multiLevelType w:val="hybridMultilevel"/>
    <w:tmpl w:val="78B2D278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5"/>
  </w:num>
  <w:num w:numId="5">
    <w:abstractNumId w:val="4"/>
  </w:num>
  <w:num w:numId="6">
    <w:abstractNumId w:val="6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71E0D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049CA"/>
    <w:rsid w:val="00111B4F"/>
    <w:rsid w:val="00131B06"/>
    <w:rsid w:val="001354E3"/>
    <w:rsid w:val="001364A1"/>
    <w:rsid w:val="0015000E"/>
    <w:rsid w:val="00150207"/>
    <w:rsid w:val="00152947"/>
    <w:rsid w:val="00160C85"/>
    <w:rsid w:val="0016131F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C5FC3"/>
    <w:rsid w:val="002F6A38"/>
    <w:rsid w:val="00312FD1"/>
    <w:rsid w:val="00331118"/>
    <w:rsid w:val="0034274F"/>
    <w:rsid w:val="00347DEA"/>
    <w:rsid w:val="00353ADB"/>
    <w:rsid w:val="003777FE"/>
    <w:rsid w:val="00403EF4"/>
    <w:rsid w:val="00416EE9"/>
    <w:rsid w:val="0042109F"/>
    <w:rsid w:val="00426A90"/>
    <w:rsid w:val="0043450E"/>
    <w:rsid w:val="004353CD"/>
    <w:rsid w:val="00435A51"/>
    <w:rsid w:val="00453BA5"/>
    <w:rsid w:val="00454E53"/>
    <w:rsid w:val="00464BAD"/>
    <w:rsid w:val="00470375"/>
    <w:rsid w:val="0047269F"/>
    <w:rsid w:val="00482477"/>
    <w:rsid w:val="00491386"/>
    <w:rsid w:val="00493B83"/>
    <w:rsid w:val="00494F18"/>
    <w:rsid w:val="004A41DA"/>
    <w:rsid w:val="004C0103"/>
    <w:rsid w:val="004C58F9"/>
    <w:rsid w:val="004D0C67"/>
    <w:rsid w:val="004D38A8"/>
    <w:rsid w:val="004D3D81"/>
    <w:rsid w:val="004E4BF3"/>
    <w:rsid w:val="00532474"/>
    <w:rsid w:val="00545B26"/>
    <w:rsid w:val="00553FC9"/>
    <w:rsid w:val="00560A63"/>
    <w:rsid w:val="00564B2E"/>
    <w:rsid w:val="0056504C"/>
    <w:rsid w:val="00566E4B"/>
    <w:rsid w:val="00570B14"/>
    <w:rsid w:val="00585E98"/>
    <w:rsid w:val="00593AEE"/>
    <w:rsid w:val="00594743"/>
    <w:rsid w:val="005A4AB9"/>
    <w:rsid w:val="005B2640"/>
    <w:rsid w:val="005C12BE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64DF6"/>
    <w:rsid w:val="00676A68"/>
    <w:rsid w:val="006919C7"/>
    <w:rsid w:val="006A3399"/>
    <w:rsid w:val="006A6B9C"/>
    <w:rsid w:val="006C198A"/>
    <w:rsid w:val="006C6840"/>
    <w:rsid w:val="006E7DBE"/>
    <w:rsid w:val="00715E6E"/>
    <w:rsid w:val="0072141E"/>
    <w:rsid w:val="00726265"/>
    <w:rsid w:val="00730F90"/>
    <w:rsid w:val="00734EBD"/>
    <w:rsid w:val="007A0711"/>
    <w:rsid w:val="007B2B10"/>
    <w:rsid w:val="007B2E62"/>
    <w:rsid w:val="007D20DF"/>
    <w:rsid w:val="007E0B9E"/>
    <w:rsid w:val="007F3181"/>
    <w:rsid w:val="00803C45"/>
    <w:rsid w:val="008236E4"/>
    <w:rsid w:val="00850296"/>
    <w:rsid w:val="00860A01"/>
    <w:rsid w:val="00874193"/>
    <w:rsid w:val="00897104"/>
    <w:rsid w:val="008A4493"/>
    <w:rsid w:val="008B10F5"/>
    <w:rsid w:val="008D10E7"/>
    <w:rsid w:val="008D3AD6"/>
    <w:rsid w:val="008E41BB"/>
    <w:rsid w:val="008E57B1"/>
    <w:rsid w:val="0091383D"/>
    <w:rsid w:val="009159AA"/>
    <w:rsid w:val="00940559"/>
    <w:rsid w:val="00947B31"/>
    <w:rsid w:val="00996062"/>
    <w:rsid w:val="009B1E68"/>
    <w:rsid w:val="00A2770A"/>
    <w:rsid w:val="00A41675"/>
    <w:rsid w:val="00A451E8"/>
    <w:rsid w:val="00A51ACB"/>
    <w:rsid w:val="00A6018C"/>
    <w:rsid w:val="00A7317E"/>
    <w:rsid w:val="00AB24AA"/>
    <w:rsid w:val="00AE3616"/>
    <w:rsid w:val="00AE6327"/>
    <w:rsid w:val="00AF7CB0"/>
    <w:rsid w:val="00B029EE"/>
    <w:rsid w:val="00B4385F"/>
    <w:rsid w:val="00B65B59"/>
    <w:rsid w:val="00B7292B"/>
    <w:rsid w:val="00BA4205"/>
    <w:rsid w:val="00BA7DDF"/>
    <w:rsid w:val="00BC764C"/>
    <w:rsid w:val="00BE37F6"/>
    <w:rsid w:val="00BF40C1"/>
    <w:rsid w:val="00BF4B17"/>
    <w:rsid w:val="00C07117"/>
    <w:rsid w:val="00C21554"/>
    <w:rsid w:val="00C22231"/>
    <w:rsid w:val="00C22DCD"/>
    <w:rsid w:val="00C3512C"/>
    <w:rsid w:val="00C74380"/>
    <w:rsid w:val="00C81190"/>
    <w:rsid w:val="00CA0229"/>
    <w:rsid w:val="00CA324A"/>
    <w:rsid w:val="00CB50D4"/>
    <w:rsid w:val="00CD5859"/>
    <w:rsid w:val="00CF138C"/>
    <w:rsid w:val="00CF4404"/>
    <w:rsid w:val="00D275CC"/>
    <w:rsid w:val="00D31141"/>
    <w:rsid w:val="00D602F1"/>
    <w:rsid w:val="00D767C4"/>
    <w:rsid w:val="00D77CF5"/>
    <w:rsid w:val="00D8365E"/>
    <w:rsid w:val="00DC1586"/>
    <w:rsid w:val="00E10098"/>
    <w:rsid w:val="00E32B5A"/>
    <w:rsid w:val="00E33B68"/>
    <w:rsid w:val="00E355CC"/>
    <w:rsid w:val="00E402BB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  <w:rsid w:val="00FE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53FC9"/>
    <w:rPr>
      <w:b/>
    </w:rPr>
  </w:style>
  <w:style w:type="paragraph" w:customStyle="1" w:styleId="TAC">
    <w:name w:val="TAC"/>
    <w:basedOn w:val="TAL"/>
    <w:link w:val="TACChar"/>
    <w:qFormat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53ADB"/>
    <w:rPr>
      <w:rFonts w:ascii="Times New Roman" w:hAnsi="Times New Roman"/>
      <w:lang w:val="en-GB" w:eastAsia="en-US"/>
    </w:rPr>
  </w:style>
  <w:style w:type="paragraph" w:customStyle="1" w:styleId="TableText">
    <w:name w:val="TableText"/>
    <w:basedOn w:val="BodyTextIndent"/>
    <w:qFormat/>
    <w:rsid w:val="00403EF4"/>
    <w:pPr>
      <w:spacing w:after="180"/>
      <w:ind w:leftChars="400" w:left="851"/>
    </w:pPr>
    <w:rPr>
      <w:rFonts w:eastAsia="Malgun Gothic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03EF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03E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package" Target="embeddings/Microsoft_Word_Document1.docx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20" Type="http://schemas.openxmlformats.org/officeDocument/2006/relationships/package" Target="embeddings/Microsoft_Word_Document2.docx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package" Target="embeddings/Microsoft_Word_Document3.docx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1825</TotalTime>
  <Pages>3</Pages>
  <Words>226</Words>
  <Characters>1835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Marttila, Jaakko (Nokia - FI/Tampere)</cp:lastModifiedBy>
  <cp:revision>27</cp:revision>
  <cp:lastPrinted>1899-12-31T22:00:00Z</cp:lastPrinted>
  <dcterms:created xsi:type="dcterms:W3CDTF">2020-05-15T10:02:00Z</dcterms:created>
  <dcterms:modified xsi:type="dcterms:W3CDTF">2021-04-01T15:41:00Z</dcterms:modified>
</cp:coreProperties>
</file>